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1" w:rsidRPr="00D67281" w:rsidRDefault="00D67281" w:rsidP="00D67281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D672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D67281" w:rsidRPr="00D67281" w:rsidRDefault="00D67281" w:rsidP="00D67281">
      <w:pPr>
        <w:keepNext/>
        <w:keepLines/>
        <w:tabs>
          <w:tab w:val="center" w:pos="4337"/>
          <w:tab w:val="left" w:pos="7880"/>
        </w:tabs>
        <w:spacing w:before="40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D67281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высоковольтных конденсаторных установок</w:t>
      </w:r>
      <w:bookmarkStart w:id="0" w:name="_GoBack"/>
      <w:bookmarkEnd w:id="0"/>
    </w:p>
    <w:tbl>
      <w:tblPr>
        <w:tblpPr w:leftFromText="180" w:rightFromText="180" w:vertAnchor="text" w:horzAnchor="margin" w:tblpX="-68" w:tblpY="2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6"/>
        <w:gridCol w:w="3272"/>
      </w:tblGrid>
      <w:tr w:rsidR="00D67281" w:rsidRPr="00D67281" w:rsidTr="0038580F">
        <w:trPr>
          <w:trHeight w:val="456"/>
        </w:trPr>
        <w:tc>
          <w:tcPr>
            <w:tcW w:w="5000" w:type="pct"/>
            <w:gridSpan w:val="2"/>
            <w:shd w:val="clear" w:color="auto" w:fill="D9D9D9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D67281" w:rsidRPr="00D67281" w:rsidTr="0038580F">
        <w:trPr>
          <w:trHeight w:val="305"/>
        </w:trPr>
        <w:tc>
          <w:tcPr>
            <w:tcW w:w="3511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9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D67281" w:rsidRPr="00D67281" w:rsidTr="0038580F">
        <w:trPr>
          <w:trHeight w:val="305"/>
        </w:trPr>
        <w:tc>
          <w:tcPr>
            <w:tcW w:w="3511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9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D67281" w:rsidRPr="00D67281" w:rsidTr="0038580F">
        <w:trPr>
          <w:trHeight w:val="305"/>
        </w:trPr>
        <w:tc>
          <w:tcPr>
            <w:tcW w:w="3511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9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D67281" w:rsidRPr="00D67281" w:rsidTr="0038580F">
        <w:trPr>
          <w:trHeight w:val="313"/>
        </w:trPr>
        <w:tc>
          <w:tcPr>
            <w:tcW w:w="3511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D672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89" w:type="pct"/>
          </w:tcPr>
          <w:p w:rsidR="00D67281" w:rsidRPr="00D67281" w:rsidRDefault="00D67281" w:rsidP="0038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3679"/>
        <w:gridCol w:w="3666"/>
      </w:tblGrid>
      <w:tr w:rsidR="00D67281" w:rsidRPr="00D67281" w:rsidTr="00060F86">
        <w:trPr>
          <w:trHeight w:val="639"/>
        </w:trPr>
        <w:tc>
          <w:tcPr>
            <w:tcW w:w="5000" w:type="pct"/>
            <w:gridSpan w:val="3"/>
            <w:shd w:val="clear" w:color="auto" w:fill="D9D9D9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Параметры установки</w:t>
            </w: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Параметр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Возможные варианты</w:t>
            </w:r>
          </w:p>
        </w:tc>
        <w:tc>
          <w:tcPr>
            <w:tcW w:w="1668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Требование</w:t>
            </w: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Марка установки (как указано в проекте либо другой документации)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КРМ, УКРМ, АУКРМ, КРМФ, УКЛ 56</w:t>
            </w: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другая:</w:t>
            </w:r>
          </w:p>
        </w:tc>
        <w:tc>
          <w:tcPr>
            <w:tcW w:w="1668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Номинальное напряжение, </w:t>
            </w:r>
            <w:proofErr w:type="spell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ab/>
              <w:t xml:space="preserve">                           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6,3 </w:t>
            </w:r>
            <w:proofErr w:type="spell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</w:t>
            </w:r>
            <w:proofErr w:type="spellEnd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/ 6,6 </w:t>
            </w:r>
            <w:proofErr w:type="spell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</w:t>
            </w:r>
            <w:proofErr w:type="spellEnd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/ 10,5 </w:t>
            </w:r>
            <w:proofErr w:type="spell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квар</w:t>
            </w:r>
            <w:proofErr w:type="spellEnd"/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1658" w:type="pct"/>
            <w:vMerge w:val="restar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Тип регулирования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 ступени автоматические</w:t>
            </w:r>
          </w:p>
        </w:tc>
        <w:tc>
          <w:tcPr>
            <w:tcW w:w="1668" w:type="pct"/>
            <w:vMerge w:val="restar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65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Автоматические + фиксированные ступени</w:t>
            </w:r>
          </w:p>
        </w:tc>
        <w:tc>
          <w:tcPr>
            <w:tcW w:w="166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65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 фиксированные (неавтоматические) ступени</w:t>
            </w:r>
          </w:p>
        </w:tc>
        <w:tc>
          <w:tcPr>
            <w:tcW w:w="166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Мощность фиксированной (нерегулируемой) части,             (при необходимости)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Мощность автоматической части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Шаг регулировки автоматической части, </w:t>
            </w:r>
            <w:proofErr w:type="spell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квар</w:t>
            </w:r>
            <w:proofErr w:type="spellEnd"/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Расположение вводной ячейки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Слева / справа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Вид ввода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Верхний / нижний/ боковой</w:t>
            </w:r>
          </w:p>
        </w:tc>
        <w:tc>
          <w:tcPr>
            <w:tcW w:w="166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Тип ввода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Кабельный / шинный</w:t>
            </w:r>
          </w:p>
        </w:tc>
        <w:tc>
          <w:tcPr>
            <w:tcW w:w="166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Вводной</w:t>
            </w:r>
            <w:proofErr w:type="gram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аппарат</w:t>
            </w: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Разъединитель / Вакуумный выключатель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29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Ошиновка 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Медь / Алюминий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Характер нагрузки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Какое оборудование работает в сети, </w:t>
            </w: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опишите подробно</w:t>
            </w:r>
          </w:p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Характер регулирования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по </w:t>
            </w:r>
            <w:proofErr w:type="spellStart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tg</w:t>
            </w:r>
            <w:proofErr w:type="spellEnd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 (φ)   /  по напряжению</w:t>
            </w:r>
          </w:p>
        </w:tc>
        <w:tc>
          <w:tcPr>
            <w:tcW w:w="166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Защита конденсаторов от перегрузки гармониками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Есть</w:t>
            </w:r>
            <w:proofErr w:type="gramEnd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/нет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Align w:val="center"/>
          </w:tcPr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Необходимость защиты конденсаторов фильтрами гармоник</w:t>
            </w:r>
          </w:p>
        </w:tc>
        <w:tc>
          <w:tcPr>
            <w:tcW w:w="1674" w:type="pct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Да, фильтры с </w:t>
            </w:r>
            <w:proofErr w:type="spellStart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расстройкой</w:t>
            </w:r>
            <w:proofErr w:type="spellEnd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 на 134 Гц</w:t>
            </w: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Да, фильтры с </w:t>
            </w:r>
            <w:proofErr w:type="spellStart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расстройкой</w:t>
            </w:r>
            <w:proofErr w:type="spellEnd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 на 189 Гц</w:t>
            </w:r>
          </w:p>
          <w:p w:rsidR="00D67281" w:rsidRPr="00D67281" w:rsidRDefault="00D67281" w:rsidP="00D67281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Да, фильтры с </w:t>
            </w:r>
            <w:proofErr w:type="spellStart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>расстройкой</w:t>
            </w:r>
            <w:proofErr w:type="spellEnd"/>
            <w:r w:rsidRPr="00D67281">
              <w:rPr>
                <w:rFonts w:ascii="Tahoma" w:eastAsia="Times New Roman" w:hAnsi="Tahoma" w:cs="Tahoma"/>
                <w:sz w:val="18"/>
                <w:szCs w:val="18"/>
              </w:rPr>
              <w:t xml:space="preserve"> на 210 Гц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Степень защиты</w:t>
            </w: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ab/>
            </w: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ab/>
              <w:t xml:space="preserve">                               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IP</w:t>
            </w: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21 / </w:t>
            </w: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IP</w:t>
            </w: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54, другая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658" w:type="pct"/>
            <w:vMerge w:val="restar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Климат</w:t>
            </w: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.</w:t>
            </w:r>
            <w:proofErr w:type="gram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и</w:t>
            </w:r>
            <w:proofErr w:type="gram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сполнение и кат. </w:t>
            </w:r>
            <w:proofErr w:type="spell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разм</w:t>
            </w:r>
            <w:proofErr w:type="spell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</w:t>
            </w:r>
            <w:proofErr w:type="gram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/ УХЛ4.2</w:t>
            </w:r>
          </w:p>
        </w:tc>
        <w:tc>
          <w:tcPr>
            <w:tcW w:w="1668" w:type="pct"/>
            <w:vMerge w:val="restar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65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</w:t>
            </w:r>
            <w:proofErr w:type="gram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утепленном контейнере</w:t>
            </w:r>
          </w:p>
        </w:tc>
        <w:tc>
          <w:tcPr>
            <w:tcW w:w="166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65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</w:tcBorders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ХЛ</w:t>
            </w:r>
            <w:proofErr w:type="gramStart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proofErr w:type="gramEnd"/>
            <w:r w:rsidRPr="00D6728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неутепленном малогабаритном контейнере</w:t>
            </w:r>
          </w:p>
        </w:tc>
        <w:tc>
          <w:tcPr>
            <w:tcW w:w="1668" w:type="pct"/>
            <w:vMerge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Регион, в котором планируется применение установки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Цвет по </w:t>
            </w: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RAL</w:t>
            </w:r>
          </w:p>
        </w:tc>
        <w:tc>
          <w:tcPr>
            <w:tcW w:w="1674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658" w:type="pct"/>
            <w:vMerge w:val="restart"/>
            <w:shd w:val="clear" w:color="auto" w:fill="auto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sz w:val="18"/>
                <w:szCs w:val="18"/>
              </w:rPr>
              <w:t>Ограничения по габаритам</w:t>
            </w:r>
          </w:p>
        </w:tc>
        <w:tc>
          <w:tcPr>
            <w:tcW w:w="1674" w:type="pct"/>
            <w:vMerge w:val="restart"/>
            <w:shd w:val="clear" w:color="auto" w:fill="auto"/>
            <w:vAlign w:val="center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Есть</w:t>
            </w:r>
            <w:proofErr w:type="gramEnd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/нет</w:t>
            </w: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Глубина, </w:t>
            </w: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мм</w:t>
            </w:r>
            <w:proofErr w:type="gramEnd"/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Длина, </w:t>
            </w: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мм</w:t>
            </w:r>
            <w:proofErr w:type="gramEnd"/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"/>
        </w:trPr>
        <w:tc>
          <w:tcPr>
            <w:tcW w:w="1658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Высота, </w:t>
            </w:r>
            <w:proofErr w:type="gramStart"/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мм</w:t>
            </w:r>
            <w:proofErr w:type="gramEnd"/>
          </w:p>
        </w:tc>
      </w:tr>
      <w:tr w:rsidR="00D67281" w:rsidRPr="00D67281" w:rsidTr="00060F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658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vMerge/>
            <w:shd w:val="clear" w:color="auto" w:fill="auto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pct"/>
          </w:tcPr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D6728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Особый вариант компоновки:</w:t>
            </w: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  <w:p w:rsidR="00D67281" w:rsidRPr="00D67281" w:rsidRDefault="00D67281" w:rsidP="00D6728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6E445D" w:rsidRPr="00D67281" w:rsidRDefault="006E445D" w:rsidP="00D67281"/>
    <w:sectPr w:rsidR="006E445D" w:rsidRPr="00D67281" w:rsidSect="005C27A0">
      <w:headerReference w:type="default" r:id="rId9"/>
      <w:footerReference w:type="default" r:id="rId10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DF" w:rsidRDefault="003631DF" w:rsidP="008316A2">
      <w:pPr>
        <w:spacing w:after="0" w:line="240" w:lineRule="auto"/>
      </w:pPr>
      <w:r>
        <w:separator/>
      </w:r>
    </w:p>
  </w:endnote>
  <w:endnote w:type="continuationSeparator" w:id="0">
    <w:p w:rsidR="003631DF" w:rsidRDefault="003631DF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BD253C" w:rsidRDefault="00BD253C" w:rsidP="008D50E5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  <w:r>
      <w:rPr>
        <w:color w:val="374E55" w:themeColor="accent1" w:themeShade="80"/>
        <w:sz w:val="18"/>
        <w:szCs w:val="18"/>
      </w:rPr>
      <w:t>И</w:t>
    </w:r>
    <w:r w:rsidR="00AD1DE3" w:rsidRPr="003629D5">
      <w:rPr>
        <w:color w:val="374E55" w:themeColor="accent1" w:themeShade="80"/>
        <w:sz w:val="18"/>
        <w:szCs w:val="18"/>
      </w:rPr>
      <w:t>НН 6678048593 КПП 667801001</w:t>
    </w:r>
  </w:p>
  <w:p w:rsidR="00C95516" w:rsidRPr="003629D5" w:rsidRDefault="00AD1DE3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 w:rsidRPr="003629D5">
      <w:rPr>
        <w:color w:val="374E55" w:themeColor="accent1" w:themeShade="80"/>
        <w:sz w:val="18"/>
        <w:szCs w:val="18"/>
      </w:rPr>
      <w:t>ОГРН 1146678013492</w:t>
    </w:r>
  </w:p>
  <w:p w:rsidR="00EF62AF" w:rsidRDefault="001E3827" w:rsidP="008D50E5">
    <w:pPr>
      <w:pStyle w:val="a5"/>
      <w:tabs>
        <w:tab w:val="clear" w:pos="4677"/>
        <w:tab w:val="clear" w:pos="9355"/>
        <w:tab w:val="left" w:pos="3276"/>
      </w:tabs>
      <w:jc w:val="right"/>
      <w:rPr>
        <w:color w:val="374E55" w:themeColor="accent1" w:themeShade="80"/>
        <w:sz w:val="18"/>
        <w:szCs w:val="18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8D77A" wp14:editId="7CCF2BC6">
              <wp:simplePos x="0" y="0"/>
              <wp:positionH relativeFrom="column">
                <wp:posOffset>-771525</wp:posOffset>
              </wp:positionH>
              <wp:positionV relativeFrom="paragraph">
                <wp:posOffset>170180</wp:posOffset>
              </wp:positionV>
              <wp:extent cx="4297680" cy="83820"/>
              <wp:effectExtent l="0" t="0" r="7620" b="0"/>
              <wp:wrapNone/>
              <wp:docPr id="8" name="Параллелограмм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8" o:spid="_x0000_s1026" type="#_x0000_t7" style="position:absolute;margin-left:-60.75pt;margin-top:13.4pt;width:338.4pt;height: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" adj="105" fillcolor="#c00000" stroked="f" strokeweight="1.25pt"/>
          </w:pict>
        </mc:Fallback>
      </mc:AlternateContent>
    </w:r>
    <w:r w:rsidR="00EF62AF" w:rsidRPr="003629D5">
      <w:rPr>
        <w:color w:val="374E55" w:themeColor="accent1" w:themeShade="80"/>
        <w:sz w:val="18"/>
        <w:szCs w:val="18"/>
      </w:rPr>
      <w:t>ОКПО 44126274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DF" w:rsidRDefault="003631DF" w:rsidP="008316A2">
      <w:pPr>
        <w:spacing w:after="0" w:line="240" w:lineRule="auto"/>
      </w:pPr>
      <w:r>
        <w:separator/>
      </w:r>
    </w:p>
  </w:footnote>
  <w:footnote w:type="continuationSeparator" w:id="0">
    <w:p w:rsidR="003631DF" w:rsidRDefault="003631DF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EA" w:rsidRDefault="001E3827" w:rsidP="007223B9">
    <w:pPr>
      <w:pStyle w:val="af"/>
      <w:jc w:val="right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3206115</wp:posOffset>
              </wp:positionH>
              <wp:positionV relativeFrom="paragraph">
                <wp:posOffset>-107950</wp:posOffset>
              </wp:positionV>
              <wp:extent cx="4404360" cy="83820"/>
              <wp:effectExtent l="0" t="0" r="0" b="0"/>
              <wp:wrapNone/>
              <wp:docPr id="6" name="Параллелограмм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4360" cy="8382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6" o:spid="_x0000_s1026" type="#_x0000_t7" style="position:absolute;margin-left:252.45pt;margin-top:-8.5pt;width:346.8pt;height: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" adj="103" fillcolor="#c00000" stroked="f" strokeweight="1.25pt"/>
          </w:pict>
        </mc:Fallback>
      </mc:AlternateContent>
    </w:r>
  </w:p>
  <w:p w:rsidR="00DD08EA" w:rsidRPr="001E3827" w:rsidRDefault="001E3827" w:rsidP="001E3827">
    <w:pPr>
      <w:pStyle w:val="af"/>
      <w:spacing w:after="120"/>
      <w:ind w:left="284"/>
      <w:jc w:val="right"/>
      <w:rPr>
        <w:rStyle w:val="a9"/>
        <w:rFonts w:ascii="Times New Roman" w:eastAsia="Times New Roman" w:hAnsi="Times New Roman" w:cs="FrankRuehl"/>
        <w:b/>
        <w:color w:val="294D5D" w:themeColor="text2" w:themeTint="E6"/>
        <w:sz w:val="20"/>
        <w:szCs w:val="20"/>
      </w:rPr>
    </w:pPr>
    <w:r w:rsidRPr="001E3827">
      <w:rPr>
        <w:rFonts w:cs="FrankRuehl"/>
        <w:b/>
        <w:noProof/>
        <w:color w:val="294D5D" w:themeColor="text2" w:themeTint="E6"/>
        <w:sz w:val="16"/>
        <w:szCs w:val="16"/>
      </w:rPr>
      <w:drawing>
        <wp:anchor distT="0" distB="0" distL="114300" distR="114300" simplePos="0" relativeHeight="251698176" behindDoc="1" locked="0" layoutInCell="1" allowOverlap="1" wp14:anchorId="68C1E0A1" wp14:editId="70D36F4E">
          <wp:simplePos x="0" y="0"/>
          <wp:positionH relativeFrom="column">
            <wp:posOffset>-154305</wp:posOffset>
          </wp:positionH>
          <wp:positionV relativeFrom="paragraph">
            <wp:posOffset>226060</wp:posOffset>
          </wp:positionV>
          <wp:extent cx="3044190" cy="701040"/>
          <wp:effectExtent l="0" t="0" r="3810" b="381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-Групп новый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19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8EA" w:rsidRPr="001E3827">
      <w:rPr>
        <w:rFonts w:cs="FrankRuehl"/>
        <w:b/>
        <w:color w:val="294D5D" w:themeColor="text2" w:themeTint="E6"/>
        <w:sz w:val="20"/>
        <w:szCs w:val="20"/>
      </w:rPr>
      <w:t>ОБЩЕСТВО С ОГРАНИЧЕННОЙ ОТВЕТСТВЕННОСТЬЮ "М-ГРУПП"</w:t>
    </w:r>
  </w:p>
  <w:p w:rsidR="00F7288A" w:rsidRPr="001E3827" w:rsidRDefault="0038580F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38580F">
      <w:rPr>
        <w:color w:val="294D5D" w:themeColor="text2" w:themeTint="E6"/>
        <w:sz w:val="16"/>
        <w:szCs w:val="16"/>
      </w:rPr>
      <w:t>620141 Г. ЕКАТЕРИНБУРГ, УЛ. АРТИНСКАЯ, Д. 22Г, ОФИС 10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СВЕРДЛОВСКАЯ ОБЛАСТЬ: +7 (343) 290-93-90, +7 (902) 258-12-78</w:t>
    </w:r>
  </w:p>
  <w:p w:rsidR="00F7288A" w:rsidRPr="001E3827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>ЧЕЛЯБИНСКАЯ ОБЛАСТЬ:   +7 (912) 470-07-06</w:t>
    </w:r>
  </w:p>
  <w:p w:rsidR="00F7288A" w:rsidRPr="0052622B" w:rsidRDefault="00F7288A" w:rsidP="008D50E5">
    <w:pPr>
      <w:pStyle w:val="ac"/>
      <w:spacing w:after="0"/>
      <w:ind w:left="284"/>
      <w:jc w:val="right"/>
      <w:rPr>
        <w:color w:val="294D5D" w:themeColor="text2" w:themeTint="E6"/>
        <w:sz w:val="16"/>
        <w:szCs w:val="16"/>
      </w:rPr>
    </w:pPr>
    <w:r w:rsidRPr="001E3827">
      <w:rPr>
        <w:color w:val="294D5D" w:themeColor="text2" w:themeTint="E6"/>
        <w:sz w:val="16"/>
        <w:szCs w:val="16"/>
        <w:lang w:val="en-US"/>
      </w:rPr>
      <w:t>E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MAIL</w:t>
    </w:r>
    <w:r w:rsidRPr="0052622B">
      <w:rPr>
        <w:color w:val="294D5D" w:themeColor="text2" w:themeTint="E6"/>
        <w:sz w:val="16"/>
        <w:szCs w:val="16"/>
      </w:rPr>
      <w:t xml:space="preserve">:  </w:t>
    </w:r>
    <w:r w:rsidRPr="001E3827">
      <w:rPr>
        <w:color w:val="294D5D" w:themeColor="text2" w:themeTint="E6"/>
        <w:sz w:val="16"/>
        <w:szCs w:val="16"/>
        <w:lang w:val="en-US"/>
      </w:rPr>
      <w:t>info</w:t>
    </w:r>
    <w:r w:rsidRPr="0052622B">
      <w:rPr>
        <w:color w:val="294D5D" w:themeColor="text2" w:themeTint="E6"/>
        <w:sz w:val="16"/>
        <w:szCs w:val="16"/>
      </w:rPr>
      <w:t>@</w:t>
    </w:r>
    <w:r w:rsidRPr="001E3827">
      <w:rPr>
        <w:color w:val="294D5D" w:themeColor="text2" w:themeTint="E6"/>
        <w:sz w:val="16"/>
        <w:szCs w:val="16"/>
        <w:lang w:val="en-US"/>
      </w:rPr>
      <w:t>mgroup</w:t>
    </w:r>
    <w:r w:rsidRPr="0052622B">
      <w:rPr>
        <w:color w:val="294D5D" w:themeColor="text2" w:themeTint="E6"/>
        <w:sz w:val="16"/>
        <w:szCs w:val="16"/>
      </w:rPr>
      <w:t>-</w:t>
    </w:r>
    <w:r w:rsidRPr="001E3827">
      <w:rPr>
        <w:color w:val="294D5D" w:themeColor="text2" w:themeTint="E6"/>
        <w:sz w:val="16"/>
        <w:szCs w:val="16"/>
        <w:lang w:val="en-US"/>
      </w:rPr>
      <w:t>company</w:t>
    </w:r>
    <w:r w:rsidRPr="0052622B">
      <w:rPr>
        <w:color w:val="294D5D" w:themeColor="text2" w:themeTint="E6"/>
        <w:sz w:val="16"/>
        <w:szCs w:val="16"/>
      </w:rPr>
      <w:t>.</w:t>
    </w:r>
    <w:r w:rsidRPr="001E3827">
      <w:rPr>
        <w:color w:val="294D5D" w:themeColor="text2" w:themeTint="E6"/>
        <w:sz w:val="16"/>
        <w:szCs w:val="16"/>
        <w:lang w:val="en-US"/>
      </w:rPr>
      <w:t>ru</w:t>
    </w:r>
  </w:p>
  <w:p w:rsidR="003629D5" w:rsidRPr="001E3827" w:rsidRDefault="00F7288A" w:rsidP="008D50E5">
    <w:pPr>
      <w:pStyle w:val="ac"/>
      <w:spacing w:after="0"/>
      <w:ind w:left="284"/>
      <w:jc w:val="right"/>
      <w:rPr>
        <w:sz w:val="16"/>
        <w:szCs w:val="16"/>
      </w:rPr>
    </w:pPr>
    <w:r w:rsidRPr="001E3827">
      <w:rPr>
        <w:color w:val="294D5D" w:themeColor="text2" w:themeTint="E6"/>
        <w:sz w:val="16"/>
        <w:szCs w:val="16"/>
      </w:rPr>
      <w:t xml:space="preserve">САЙТ:     </w:t>
    </w:r>
    <w:hyperlink r:id="rId2" w:history="1">
      <w:r w:rsidR="003629D5" w:rsidRPr="001E3827">
        <w:rPr>
          <w:rStyle w:val="a9"/>
          <w:color w:val="294D5D" w:themeColor="text2" w:themeTint="E6"/>
          <w:sz w:val="16"/>
          <w:szCs w:val="16"/>
          <w:u w:color="759AA5" w:themeColor="accent1"/>
        </w:rPr>
        <w:t>www.mgroup-company.ru</w:t>
      </w:r>
    </w:hyperlink>
  </w:p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A2B56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C3D"/>
    <w:rsid w:val="003629D5"/>
    <w:rsid w:val="003631DF"/>
    <w:rsid w:val="00380B39"/>
    <w:rsid w:val="0038580F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02DCF"/>
    <w:rsid w:val="0083033F"/>
    <w:rsid w:val="008316A2"/>
    <w:rsid w:val="00832DD1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4E4C"/>
    <w:rsid w:val="00986A1D"/>
    <w:rsid w:val="009967C5"/>
    <w:rsid w:val="009A62A7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47DBC"/>
    <w:rsid w:val="00D62412"/>
    <w:rsid w:val="00D6510A"/>
    <w:rsid w:val="00D67281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group-compan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0491-F0F5-477D-9B7D-64C684E5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2014-10-15T18:42:00Z</cp:lastPrinted>
  <dcterms:created xsi:type="dcterms:W3CDTF">2016-07-19T07:16:00Z</dcterms:created>
  <dcterms:modified xsi:type="dcterms:W3CDTF">2018-05-16T05:50:00Z</dcterms:modified>
</cp:coreProperties>
</file>